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eastAsia" w:ascii="黑体" w:hAnsi="宋体" w:eastAsia="黑体" w:cs="黑体"/>
          <w:sz w:val="32"/>
          <w:szCs w:val="32"/>
          <w:lang w:val="en-US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附件1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20" w:lineRule="exact"/>
        <w:ind w:left="0" w:right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w w:val="90"/>
          <w:sz w:val="44"/>
          <w:szCs w:val="44"/>
          <w:lang w:val="en-US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w w:val="90"/>
          <w:kern w:val="2"/>
          <w:sz w:val="44"/>
          <w:szCs w:val="44"/>
          <w:lang w:val="en-US" w:eastAsia="zh-CN" w:bidi="ar"/>
        </w:rPr>
        <w:t>自治区教育厅2021年度教育政策研究课题指南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 w:firstLine="1440" w:firstLineChars="400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新时代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区域教育改革发展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政策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五育并举发展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政策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德育效能提升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政策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  <w:bookmarkStart w:id="0" w:name="_GoBack"/>
      <w:bookmarkEnd w:id="0"/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教育评价政策研究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学校风险防控与管理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政策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爱国主义教育实施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卫生健康教育实施与效果监测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心理健康教育实施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法治教育开展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民族团结进步教育开展策略研究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教师队伍素质提升策略研究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智能时代教师职业发展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政策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区域内中小学教师、校长交流轮岗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策略研究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教师管理改革策略研究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区域学业质量监测与评价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政策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政府教育履职评价策略研究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学校办学评价研究教师教学行为评价策略研究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学生综合素质评价策略研究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学校办学活力激发策略研究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学前教育管理体制与机制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学前教育普惠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优质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发展策略研究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义务教育优质均衡发展策略研究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普通高中多样化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发展策略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拔尖创新人才协同培养策略研究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民办学校内涵提升策略研究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教育集团化办学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政策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学区化管理与区域教育质量提升策略研究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特殊教育质量监测体系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构建策略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校本课程体系构建与学校特色发展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校园文化建设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校内外协同育人策略研究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职业教育服务能力提升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职业院校高水平专业群建设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校企深度合作办学策略研究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高校人才培养模式创新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终身教育质量监测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中小学国际教育政策支持研究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区域高校中外合作项目质量提升策略研究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 w:firstLine="1440" w:firstLineChars="400"/>
        <w:jc w:val="both"/>
        <w:rPr>
          <w:rFonts w:hint="eastAsia" w:ascii="仿宋_GB2312" w:hAnsi="仿宋_GB2312" w:eastAsia="仿宋_GB2312" w:cs="仿宋_GB2312"/>
          <w:sz w:val="36"/>
          <w:szCs w:val="36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6"/>
          <w:szCs w:val="36"/>
          <w:lang w:val="en-US" w:eastAsia="zh-CN" w:bidi="ar"/>
        </w:rPr>
        <w:t xml:space="preserve"> </w:t>
      </w: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14C684"/>
    <w:multiLevelType w:val="singleLevel"/>
    <w:tmpl w:val="8814C68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7545D6"/>
    <w:rsid w:val="54A3070C"/>
    <w:rsid w:val="63232A49"/>
    <w:rsid w:val="7301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2021-03-10T07:51:09Z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